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4E968" w14:textId="14ED5706" w:rsidR="00854F25" w:rsidRPr="005C3A8B" w:rsidRDefault="00882A5E" w:rsidP="004D12CB">
      <w:pPr>
        <w:rPr>
          <w:rFonts w:cs="Times New Roman"/>
          <w:b/>
        </w:rPr>
      </w:pPr>
      <w:bookmarkStart w:id="0" w:name="_Toc311279561"/>
      <w:bookmarkStart w:id="1" w:name="_Toc343118044"/>
      <w:bookmarkStart w:id="2" w:name="_Toc343118361"/>
      <w:bookmarkStart w:id="3" w:name="_Toc337450404"/>
      <w:bookmarkStart w:id="4" w:name="_GoBack"/>
      <w:bookmarkEnd w:id="4"/>
      <w:r w:rsidRPr="005C3A8B">
        <w:rPr>
          <w:rFonts w:cs="Times New Roman"/>
          <w:b/>
          <w:lang w:val="pt-BR"/>
        </w:rPr>
        <w:t xml:space="preserve">Phụ lục </w:t>
      </w:r>
      <w:r w:rsidR="00854F25" w:rsidRPr="005C3A8B">
        <w:rPr>
          <w:rFonts w:cs="Times New Roman"/>
          <w:b/>
        </w:rPr>
        <w:t>21. Cách trình bày luận án và tóm tắt luận án</w:t>
      </w:r>
      <w:bookmarkEnd w:id="0"/>
      <w:bookmarkEnd w:id="1"/>
      <w:bookmarkEnd w:id="2"/>
      <w:bookmarkEnd w:id="3"/>
    </w:p>
    <w:p w14:paraId="3ABB0D21"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1. Cách trình bày: luận án phải được đánh số trang, đánh số bảng biểu, hình vẽ, đồ thị. Luận án đóng bìa cứng, in chữ nhũ đủ dấu tiếng Việt. Mẫu trang bìa, trang phụ bìa của luận án theo phụ lục 17, 18.</w:t>
      </w:r>
    </w:p>
    <w:p w14:paraId="34F3765E"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a) Luận án sử dụng chữ Time New Roman cỡ chữ 14 của hệ soạn thảo Winword hoặc tương đương; mật độ chữ bình thường, không được nén hoặc kéo dãn khoảng cách giữa các chữ; giãn dòng đặt ở chế độ 1,5 lines; lề trên 3,5cm; lề dưới 3cm; lề trái 3,5cm; lề phải 2cm. Số trang được đánh ở giữa, phía trên đầu mỗi trang giấy. Nếu có bảng biểu, hình vẽ trình bày theo chiều ngang khổ giấy thì đầu bảng, hình phải là lề trái của trang, nhưng nên hạn chế trình bày theo cách này.</w:t>
      </w:r>
    </w:p>
    <w:p w14:paraId="7B10C3A5"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b) Các tiểu mục của luận án được trình bày và đánh số thành nhóm chữ số, nhiều nhất gồm 4 chữ số với số thứ nhất chỉ số chương (ví dụ 4.1.2.1 chỉ tiểu mục 1, nhóm tiểu mục 2, mục 1, chương 4). Tại mỗi nhóm tiểu mục phải có ít nhất 2 tiểu mục, nghĩa là không thể có tiểu mục 1.2.1 mà không có tiểu mục 1.2.2 tiếp theo.</w:t>
      </w:r>
    </w:p>
    <w:p w14:paraId="4D2E866E"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c) Bảng biểu, hình vẽ, phương trình: Việc đánh số bảng biểu, hình vẽ, phương trình phải gắn với số chương, ví dụ hình 2.3 có nghĩa là hình thứ 3 trong chương 2. Mọi đồ thị, bảng biểu lấy từ các nguồn khác phải được trích dẫn đầy đủ, ví dụ “Nguồn: Bộ Công thương – 2009”. Nguồn được trích dẫn phải liệt kê chính xác trong danh mục tài liệu tham khảo. Đầu đề của bảng biểu ghi phía trên bảng, đầu đề của hình vẽ ghi phía dưới hình. Thông thường, những bảng ngắn và đồ thị nhỏ phải đi liền với phần nội dung đề cập tới bảng và đồ thị này ở lần thứ nhất. Các bảng dài có thể để ở những trang riêng nhưng cũng phải tiếp theo ngay phần nội dung đề cập tới bảng này ở lần đầu tiên. Các bảng rộng vẫn nên trình bày theo chiều đứng dài 297 mm của trang giấy, chiều rộng của trang giấy có thể hơn 210 mm. Chú ý gấp trang giấy này sao cho số và đầu đề của hình vẽ hoặc bảng vẫn có thể nhìn thấy ngay mà không cần mở rộng tờ giấy. Cách làm này cũng giúp để tránh bị đóng vào gáy của luận án phần mép gấp bên trong hoặc xén rời mất phần mép gấp bên ngoài. Tuy nhiên, hạn chế sử dụng các bảng quá rộng này.</w:t>
      </w:r>
    </w:p>
    <w:p w14:paraId="0CE7FC9C"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Trong mọi trường hợp, bốn lề bao quanh phần văn bản và bảng biểu vẫn như quy định tại điểm a, khoản 2 của điều này.</w:t>
      </w:r>
    </w:p>
    <w:p w14:paraId="3AD2AD8F"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Đối với những trang giấy có chiều đứng hơn 297 mm (bản đồ, bản vẽ…) thì có thể để trong một phong bì cứng đính bên trong bìa sau luận án.</w:t>
      </w:r>
    </w:p>
    <w:p w14:paraId="3F592C54"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Trong luận án, các hình vẽ phải được vẽ sạch bằng mực đen để có thể chụp lại; có đánh số và ghi đủ đầu đề; cỡ chữ phải bằng cỡ chữ sử dụng trong văn bản luận án. Khi đề cập đến các bảng biểu và hình vẽ phải nêu rõ số của hình và bảng biểu đó, ví dụ “… được nêu trong bảng 2.3” hoặc “(xem hình 3.2)” mà không được viết “… được nêu trong bảng dưới đây” hoặc “trong đồ thị X và Y sau”.</w:t>
      </w:r>
    </w:p>
    <w:p w14:paraId="5B066323"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Việc trình bày phương trình toán học trên một dòng đơn hoặc dòng kép là tuỳ ý, tuy nhiên phải thống nhất trong toàn luận án. Khi ký hiệu xuất hiện lần đầu thì phải giải thích và đơn vị tính phải đi kèm ngay trong phương trình có ký hiệu đó. Nếu cần thiết, danh mục của tất cả các ký hiệu, chữ viết tắt và nghĩa của chúng cần được liệt kê và để ở phần đầu của luận án.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(3.1) có thể được đánh số là (3.1.1), (3.1.2), (3.1.3).</w:t>
      </w:r>
    </w:p>
    <w:p w14:paraId="1F1620A4"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 xml:space="preserve">d) Viết tắt: Chỉ viết tắt những từ, cụm từ hoặc thuật ngữ được sử dụng nhiều lần trong luận án, không lạm dụng việc viết tắt trong luận án, không viết tắt những cụm từ dài, những mệnh đề; không viết tắt những cụm từ ít xuất hiện trong luận án. Nếu cần viết tắt </w:t>
      </w:r>
      <w:r w:rsidRPr="00AC5FF7">
        <w:rPr>
          <w:rFonts w:cs="Times New Roman"/>
          <w:spacing w:val="-4"/>
          <w:szCs w:val="28"/>
          <w:lang w:val="nl-NL"/>
        </w:rPr>
        <w:lastRenderedPageBreak/>
        <w:t>những từ, thuật ngữ, tên các cơ quan, tổ chức… thì được viết tắt sau lần viết thứ nhất có kèm theo chữ viết tắt trong ngoặc đơn. Nếu luận án có nhiều chữ viết tắt thì phải có bảng danh mục các chữ viết tắt xếp theo thứ tự ABC ở phía đầu luận án.</w:t>
      </w:r>
    </w:p>
    <w:p w14:paraId="2EEEEEC6"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 xml:space="preserve">e) Tài liệu tham khảo và cách trích dẫn: Mọi ý kiến, khái niệm có ý nghĩa, mang tính chất gợi ý không phải của riêng tác giả và mọi tham khảo khác phải được trích dẫn và chỉ rõ nguồn trong danh mục tài liệu tham khảo của luận án. Phải nêu rõ cả việc sử dụng những đề xuất hoặc kết quả của đồng tác giả. </w:t>
      </w:r>
    </w:p>
    <w:p w14:paraId="1F4AE871"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Không trích dẫn những kiến thức phổ biến, mọi người đều biết cũng như không làm luận án nặng nề với những tham khảo trích dẫn. Việc trích dẫn, tham khảo chủ yếu nhằm thừa nhận nguồn của những ý tưởng có giá trị và giúp người đọc theo được mạch suy nghĩ của tác giả, không làm trở ngại việc đọc.</w:t>
      </w:r>
    </w:p>
    <w:p w14:paraId="17C3E79B"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 xml:space="preserve">Nếu không có điều kiện tiếp cận được một tài liệu gốc mà trích dẫn thông qua một tài liệu khác thì phải nêu rõ cách trích dẫn này, đồng thời tài liệu gốc đó không được liệt kê trong danh mục tài liệu tham khảo của luận án. </w:t>
      </w:r>
    </w:p>
    <w:p w14:paraId="5198F3C2"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Khi trích dẫn một đoạn ít hơn hai câu hoặc bốn dòng đánh máy thì có thể sử dụng dấu ngoặc kép để mở đầu và kết thúc phần trích dẫn. Nếu cần trích dài hơn thì phải tách phần này thành một đoạn riêng khỏi phần nội dung đang trình bày, với lề trái lùi vào thêm 2 cm. Khi đó, mở đầu và kết thúc đoạn trích dẫn này không phải sử dụng dấu ngoặc kép.</w:t>
      </w:r>
    </w:p>
    <w:p w14:paraId="73CC3A22"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Cách xếp danh mục tài liệu tham khảo xem phụ lục 20. Việc trích dẫn là theo số thứ tự của tài liệu này ở danh mục tài liệu tham khảo và được đặt trong ngoặc vuông, khi cần có cả số trang, ví dụ [1, tr.23]. Đối với phần được trích dẫn từ nhiều tài liệu khác nhau, số của từng tài liệu đó được đặt độc lập trong từng ngoặc vuông, theo thứ tự tăng dần, ví dụ [5], [7], [12].</w:t>
      </w:r>
    </w:p>
    <w:p w14:paraId="7CDF1053"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nl-NL"/>
        </w:rPr>
        <w:t xml:space="preserve">g) Phụ lục của luận án: </w:t>
      </w:r>
      <w:r w:rsidRPr="00AC5FF7">
        <w:rPr>
          <w:rFonts w:cs="Times New Roman"/>
          <w:spacing w:val="-4"/>
          <w:szCs w:val="28"/>
          <w:lang w:val="it-IT"/>
        </w:rPr>
        <w:t>Phần này bao gồm những nội dung cần thiết nhằm minh họa hoặc bổ sung cho nội dung luận án như số liệu, mẫu biểu, tranh ảnh... Nếu luận án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bảng biểu cũng cần nêu trong Phụ lục của luận án. Phụ lục không được dày hơn phần chính của luận án. Số trang phần Phụ lục vẫn được đánh tiếp theo của phần nội dung chính. Các bảng, hình, công thức phần Phụ lục được ký hiệu như sau: Hình P1.2, Bảng P2.1,...</w:t>
      </w:r>
    </w:p>
    <w:p w14:paraId="1482489A"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Bố cục của luận án được thể hiện như trang mục lục, phụ lục 19. Nên sắp xếp sao cho mục lục của luận án gọn trong một trang giấy.</w:t>
      </w:r>
    </w:p>
    <w:p w14:paraId="6527E694"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 xml:space="preserve">2. Tóm tắt luận án: </w:t>
      </w:r>
    </w:p>
    <w:p w14:paraId="46C5A32B"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Tóm tắt luận án phải in chụp với kích thước 140 x 210 mm (khổ A4 gập đôi). Tóm tắt luận án phải được trình bầy rõ ràng, mạch lạc, sạch sẽ, không được tẩy xoá. Số của bảng biểu, hình vẽ, đồ thị phải cùng số như trong luận án.</w:t>
      </w:r>
    </w:p>
    <w:p w14:paraId="27117593"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Tóm tắt luận án được trình bày nhiều nhất trong 24 trang in trên 2 mặt giấy, cỡ chữ Time New Roman 11 của hệ soạn thảo Winword. Mật độ chữ bình thường, không được nén hoặc kéo giãn khoảng cách giữa các chữ. Chế độ giãn dòng là Exactly 17 pt. Lề trên, lề dưới, lề trái, lề phải đều là 2 cm. Các bảng biểu trình bày theo chiều ngang khổ giấy thì đầu bảng là lề trái của trang. Tóm tắt luận án phản ánh trung thực kết cấu, bố cục và nội dung của luận án, phải ghi đầy đủ toàn văn kết luận của luận án.</w:t>
      </w:r>
    </w:p>
    <w:p w14:paraId="31B4B257" w14:textId="4B9F8307" w:rsidR="00A44B11" w:rsidRPr="004D12CB" w:rsidRDefault="00854F25" w:rsidP="004D12CB">
      <w:pPr>
        <w:ind w:firstLine="709"/>
        <w:rPr>
          <w:rFonts w:cs="Times New Roman"/>
          <w:spacing w:val="-4"/>
          <w:szCs w:val="28"/>
          <w:lang w:val="it-IT"/>
        </w:rPr>
      </w:pPr>
      <w:r w:rsidRPr="00AC5FF7">
        <w:rPr>
          <w:rFonts w:cs="Times New Roman"/>
          <w:spacing w:val="-4"/>
          <w:szCs w:val="28"/>
          <w:lang w:val="it-IT"/>
        </w:rPr>
        <w:t xml:space="preserve">Cuối bản tóm tắt luận án là danh mục các công trình của tác giả đã công bố liên quan đến đề tài luận án với đầy đủ thông tin về tác giả, năm xuất bản, tên bài báo, tên tạp chí, tập số, số trang của bài báo trên tạp chí. Danh mục này được in trên trang bìa 3 của tóm tắt luận án. </w:t>
      </w:r>
      <w:bookmarkStart w:id="5" w:name="_Toc264899785"/>
      <w:bookmarkStart w:id="6" w:name="_Toc310603622"/>
      <w:bookmarkStart w:id="7" w:name="_Toc311279531"/>
      <w:bookmarkStart w:id="8" w:name="_Toc343118014"/>
      <w:bookmarkStart w:id="9" w:name="_Toc343118346"/>
      <w:bookmarkStart w:id="10" w:name="_Toc337450405"/>
      <w:bookmarkEnd w:id="5"/>
      <w:bookmarkEnd w:id="6"/>
      <w:bookmarkEnd w:id="7"/>
      <w:bookmarkEnd w:id="8"/>
      <w:bookmarkEnd w:id="9"/>
      <w:bookmarkEnd w:id="10"/>
    </w:p>
    <w:sectPr w:rsidR="00A44B11" w:rsidRPr="004D12C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FD626" w14:textId="77777777" w:rsidR="004A3107" w:rsidRDefault="004A3107" w:rsidP="00832B33">
      <w:pPr>
        <w:spacing w:after="0"/>
      </w:pPr>
      <w:r>
        <w:separator/>
      </w:r>
    </w:p>
  </w:endnote>
  <w:endnote w:type="continuationSeparator" w:id="0">
    <w:p w14:paraId="70BEAD1E" w14:textId="77777777" w:rsidR="004A3107" w:rsidRDefault="004A3107"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4A3107"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68EBF" w14:textId="77777777" w:rsidR="004A3107" w:rsidRDefault="004A3107" w:rsidP="00832B33">
      <w:pPr>
        <w:spacing w:after="0"/>
      </w:pPr>
      <w:r>
        <w:separator/>
      </w:r>
    </w:p>
  </w:footnote>
  <w:footnote w:type="continuationSeparator" w:id="0">
    <w:p w14:paraId="6BCACB35" w14:textId="77777777" w:rsidR="004A3107" w:rsidRDefault="004A3107"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06A14"/>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812"/>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0C02"/>
    <w:rsid w:val="000B1261"/>
    <w:rsid w:val="000B12CF"/>
    <w:rsid w:val="000C0008"/>
    <w:rsid w:val="000C027E"/>
    <w:rsid w:val="000C0C3E"/>
    <w:rsid w:val="000C692A"/>
    <w:rsid w:val="000D00F8"/>
    <w:rsid w:val="000D0F0F"/>
    <w:rsid w:val="000D0F1B"/>
    <w:rsid w:val="000D11A6"/>
    <w:rsid w:val="000D3EBA"/>
    <w:rsid w:val="000D4D63"/>
    <w:rsid w:val="000D69AC"/>
    <w:rsid w:val="000D7CEB"/>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BCB"/>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4AED"/>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97DBB"/>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320"/>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2C6C"/>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3107"/>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12CB"/>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6B25"/>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5CD"/>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0D"/>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2C12"/>
    <w:rsid w:val="00854F25"/>
    <w:rsid w:val="00856D4A"/>
    <w:rsid w:val="0085728A"/>
    <w:rsid w:val="00857430"/>
    <w:rsid w:val="00862336"/>
    <w:rsid w:val="00863A53"/>
    <w:rsid w:val="00864B96"/>
    <w:rsid w:val="008653DE"/>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77B"/>
    <w:rsid w:val="00A32807"/>
    <w:rsid w:val="00A35128"/>
    <w:rsid w:val="00A37385"/>
    <w:rsid w:val="00A44B11"/>
    <w:rsid w:val="00A45570"/>
    <w:rsid w:val="00A4692A"/>
    <w:rsid w:val="00A469F4"/>
    <w:rsid w:val="00A46A88"/>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503"/>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0EF8"/>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081C"/>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6816"/>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0F5C"/>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3CF"/>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177"/>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2F3"/>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0C9E-2D88-4A89-97F0-D85B01FD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2017-09-20T02:07:00Z</dcterms:created>
  <dcterms:modified xsi:type="dcterms:W3CDTF">2017-09-20T02:07:00Z</dcterms:modified>
</cp:coreProperties>
</file>